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ЛИЦЕНЗИОНН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ЫЙ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ДОГОВОР ПРИСОЕДИНЕНИЯ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Редакция 09.04.2026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7"/>
      </w:pPr>
      <w:r>
        <w:t xml:space="preserve"> </w:t>
      </w:r>
      <w:r/>
    </w:p>
    <w:p>
      <w:pPr>
        <w:pStyle w:val="677"/>
        <w:jc w:val="both"/>
        <w:spacing w:after="138"/>
      </w:pPr>
      <w:r>
        <w:t xml:space="preserve">Настоящий Лицензионный договор присоединения (далее по тексту Договор) в соответствии с п.1 ст.428. ГК РФ является формой, определяющей условия договора присоединения. </w:t>
      </w:r>
      <w:r/>
    </w:p>
    <w:p>
      <w:pPr>
        <w:pStyle w:val="677"/>
        <w:jc w:val="both"/>
        <w:spacing w:after="138"/>
      </w:pPr>
      <w:r>
        <w:t xml:space="preserve">Настоящий Договор заключается между Лицензиаром и юридическим лицом, физическим лицом, зарегистрировавшимся для ведения предпринимательской деятельности</w:t>
      </w:r>
      <w:r>
        <w:t xml:space="preserve"> </w:t>
      </w:r>
      <w:r>
        <w:t xml:space="preserve">(далее Лицензиат), далее совместно именуемые Стороны, не иначе, как путем присоединения Лицензиата к Договору в целом, что означает полное и безоговорочное принятие Лицензиатом условий настоящего Договора. </w:t>
      </w:r>
      <w:r/>
    </w:p>
    <w:p>
      <w:pPr>
        <w:pStyle w:val="677"/>
        <w:jc w:val="both"/>
      </w:pPr>
      <w:r>
        <w:t xml:space="preserve">В соответствии с п.3 ст.438 и п.3 ст.434 Гражданского кодекса Российской Федерации Договор считается заключенным в письменной форме.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295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" w:name="bookmark0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Предмет Соглашения</w:t>
      </w:r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3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настоящему Договору Лицензиар обязуется предоставить Лицензиату на условиях простой (неисключительной) лицензии права на использование Программного обеспечения, без территориальных ограничений. Все исключительные права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принадлежат Лицензиару и не передаются Лицензиату, а также Лицензиар сохраняет за собой право выдачи лицензии другим лицам.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Лицензия на Программное обеспечение распр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остраняется на дополнительные компоненты, которые могут быть предоставлены или, доступ к которым может быть предоставлен Лицензиаром, если право использовать такие добавления, дополнительные компоненты не передается на основании самостоятельных соглашений.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Лицензиар гарантирует, что он является обладателем исключительного права на </w:t>
      </w:r>
      <w:r>
        <w:rPr>
          <w:rFonts w:ascii="Times New Roman" w:hAnsi="Times New Roman" w:cs="Times New Roman"/>
          <w:sz w:val="24"/>
          <w:szCs w:val="24"/>
        </w:rPr>
        <w:t xml:space="preserve">программное обеспечение.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к программному обеспечению может передаваться пут</w:t>
      </w:r>
      <w:r>
        <w:rPr>
          <w:rFonts w:ascii="Times New Roman" w:hAnsi="Times New Roman" w:cs="Times New Roman"/>
          <w:sz w:val="24"/>
          <w:szCs w:val="24"/>
        </w:rPr>
        <w:t xml:space="preserve">ем направления Лицензиару установочных файлов, передачи установочных файлов на материальном носителе либо программное обеспечение может быть предустановлено на оборудование Лицензиара, передаваемое Лицензиату в рамках иных, заключенных Сторонами договоров.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2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2" w:name="bookmark2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Общие положения</w:t>
      </w:r>
      <w:bookmarkEnd w:id="2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90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Программным обеспечением (далее –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понимается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любое из указанных в Приложении №1 к Договору программное обеспечение, являющихся результатом интеллектуальной деятельности в виде программ для ЭВМ, исключительные права на которые принадлежат Лицензиару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включая документацию в электронном виде, которые являются объектом гражданского права и охраняются законом.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90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Везде в тексте под термином «документация» подразумеваются материалы и носители, содержащие документацию в электронном виде. Документация является неотъемлемой частью Программы.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904" w:leader="none"/>
          <w:tab w:val="left" w:pos="337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Лицензиар предоставляет Лицензиату право использования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без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ограничения по территории и без предоставления отчетов на условиях и в порядке, предусмотренных действующим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Российской Федерации и настоящим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904" w:leader="none"/>
          <w:tab w:val="left" w:pos="337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2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3" w:name="bookmark8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Порядок заключения соглашения</w:t>
      </w:r>
      <w:bookmarkEnd w:id="3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4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Лицензиат заключает настоящ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ий Договора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не иначе как путем присоединения 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целом.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Присоединение к настоящему Договору осуществляется путем оплаты счета (являющегося офертой), выставляемого Лицензиаром в адрес Лицензиата. Оплата счета-оферты Лицензиатом и зачисление денежных средств на расчетный счет Лицензиара по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реквизитам, указанным в счете, являются акцептом Лицензиата о принятии оферты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согласием с условиями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Лицензиаром доступа к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настоящему Договору равен сроку действия исключительного права Лицензиара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ПО.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0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Лицензионное вознаграждение и порядок оплаты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расчеты по Договору осуществляются в валюте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подпунктом 26 пункта 2 статьи 149 Налогового Кодекса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вознаграждение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предоставляемые по Договору права на использование Программы для ЭВМ НДС не облагается.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предоставляемые Лицензии Лицензиат уплачивает Лицензиару лицензионное вознаграждение, размер которого определяется прейскурантом, размещенным на сайте Л</w:t>
      </w:r>
      <w:r>
        <w:rPr>
          <w:rFonts w:ascii="Times New Roman" w:hAnsi="Times New Roman" w:cs="Times New Roman"/>
          <w:sz w:val="24"/>
          <w:szCs w:val="24"/>
        </w:rPr>
        <w:t xml:space="preserve">ицензиара, зависит от типа лицензии и указан в счете или счете-оферте, выставляемом Лицензиаром в адрес Лицензиата. Оплатой счета или счета-оферты Лицензиат подтверждает, что с размером лицензионного вознаграждения, типом лицензии и способом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он ознакомлен и согласен.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лицензионного вознаграждения может быть изменен Лицензиаром в одностороннем порядке путем утверждения новых прейскурантов. Надлежащим уведомлением об изменении размера лицензионного вознаграждения будет являться размещение информации на сайте Лицензиара. </w:t>
      </w:r>
      <w:r>
        <w:rPr>
          <w:rFonts w:ascii="Times New Roman" w:hAnsi="Times New Roman" w:cs="Times New Roman"/>
          <w:sz w:val="24"/>
          <w:szCs w:val="24"/>
        </w:rPr>
        <w:t xml:space="preserve">Размер лицензионного, оплаченный Лицензиатом до вступления в силу новых условий оплаты, не подлежит изменению.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Лицензионное вознаграждение и стоимость оказываемых услуг оплачиваются Лицензиатом на условиях 100% предоплаты не позднее 2 (двух) рабочих дней с даты получения счета.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отдельных, </w:t>
      </w:r>
      <w:r>
        <w:rPr>
          <w:rFonts w:ascii="Times New Roman" w:hAnsi="Times New Roman" w:cs="Times New Roman"/>
          <w:sz w:val="24"/>
          <w:szCs w:val="24"/>
        </w:rPr>
        <w:t xml:space="preserve">согласованных с Лицензиаром, случаях допускается оплата вознаграждения по факту предоставления Лицензий и/или оказания услуг на основании первичного учетного документа в течение согласованного с Лицензиаром срока с момента оформления документа Лицензиаром.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Обязанности Лицензиата в части оплаты по Договору считаются исполненными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дня поступления денежных средств на расчетный счет Лицензиара.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Лицензиата от получения права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Программой</w:t>
      </w:r>
      <w:r>
        <w:rPr>
          <w:rFonts w:ascii="Times New Roman" w:hAnsi="Times New Roman" w:cs="Times New Roman"/>
          <w:sz w:val="24"/>
          <w:szCs w:val="24"/>
        </w:rPr>
        <w:t xml:space="preserve">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им уплаты лицензионного вознаграждения сумма, поступившая на расчетный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 Лицензиара по результатам указанной уплаты, не подлежит возврату Лицензиату.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4" w:name="bookmark10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Условия использования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Передаваемые права на использование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предоставляют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Лицензиату </w:t>
      </w:r>
      <w:r>
        <w:rPr>
          <w:rFonts w:ascii="Times New Roman" w:hAnsi="Times New Roman" w:cs="Times New Roman"/>
          <w:sz w:val="24"/>
          <w:szCs w:val="24"/>
        </w:rPr>
        <w:t xml:space="preserve">право на использование ПО только тем способом и на тех условиях, которые указаны в настоящем Договоре, а именно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2"/>
          <w:numId w:val="6"/>
        </w:numPr>
        <w:ind w:left="0" w:firstLine="0"/>
        <w:jc w:val="both"/>
        <w:spacing w:after="0" w:line="240" w:lineRule="auto"/>
        <w:tabs>
          <w:tab w:val="left" w:pos="13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Хранить, устанавливать (инсталлировать) и использовать только то количество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экземпляров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которое соответствует приобретенному Лицензиатом объему прав на использование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(количеству и типу Лицензий).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2"/>
          <w:numId w:val="6"/>
        </w:numPr>
        <w:ind w:left="0" w:firstLine="0"/>
        <w:jc w:val="both"/>
        <w:spacing w:after="0" w:line="240" w:lineRule="auto"/>
        <w:tabs>
          <w:tab w:val="left" w:pos="13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Произвести установку (инсталляцию)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и 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функциональными возможностями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2"/>
          <w:numId w:val="6"/>
        </w:numPr>
        <w:ind w:left="0" w:firstLine="0"/>
        <w:jc w:val="both"/>
        <w:spacing w:after="0" w:line="240" w:lineRule="auto"/>
        <w:tabs>
          <w:tab w:val="left" w:pos="13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Публично демонстрировать и рекламировать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том числе путем размещения сведений 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сервере в сети Интернет с обязательным указанием сведений о Лицензиаре.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2"/>
          <w:numId w:val="6"/>
        </w:numPr>
        <w:ind w:left="0" w:firstLine="0"/>
        <w:jc w:val="both"/>
        <w:spacing w:after="0" w:line="240" w:lineRule="auto"/>
        <w:tabs>
          <w:tab w:val="left" w:pos="13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Распространять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путем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предоставления лицензий третьим лицам (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сублицензирование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), проката, сдачи внаем, предоставления взаймы или другими законными способами передачи прав использования. При этом все расходы, связанные с распространением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относятся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счет Лицензиата.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Лицензиату предоставляется право (разрешается) передавать (предоставлять) права использования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способом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распространения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воспроизведения, получаемые по настоящему Договору,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иным третьим 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реселлерам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целях последующего предоставления ими права использования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способом воспроизведения конечным пользователям, и разрешать (предоставлять право) указанным третьим лицам (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реселлерам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передавать права использования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способом воспроизведения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конечным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пользователям,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напрямую или через иных третьих лиц (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реселлеров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2"/>
          <w:numId w:val="6"/>
        </w:numPr>
        <w:ind w:left="0" w:firstLine="0"/>
        <w:jc w:val="both"/>
        <w:spacing w:after="0" w:line="240" w:lineRule="auto"/>
        <w:tabs>
          <w:tab w:val="left" w:pos="13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и способ использования ПО, прямо не указанные в Договоре, не считаются предоставленными Лицензиату.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62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 исключением использования способами и в объеме, прямо предусмотренными Договором или законодательством Российской Федерации, Лицензиат не имеет права использовать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том числе: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изучать, исследовать или испытывать функционирование ПО в целях определения идей и принципов, лежащих в основе любого элемента ПО, дизассемблировать,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декомпилировать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осуществлять обратную разработку или иным способом осуществлять попытку получить исходный текст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модифицировать, изменять ПО, иным образом создавать производное произведение данного ПО или каким-либо образом изменять его целостность;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осуществлять исправление ошибок ПО,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т.ч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 явных, или производить какие-либо иные изменения в ПО, компонентах ПО или соответствующей Документации к нему;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создавать условия для доступа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третьим лицам, не имеющим права использования данного ПО, в том числе в виртуальной среде или через сеть Интернет, если иное прямо не предусмотрено настоящим Договором;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использовать ПО для организации публичных сервисов, в том числе путем предоставления удаленного доступа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хранить или использовать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истечении разрешенного Правообладателем срока;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удалять, изменять или делать малозаметными любые уведомления об авторских правах или правах на товарные знаки, которые указаны в Документации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или внутри ПО;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использовать Лицензионный ключ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 для нескольких учетных записей;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нарушение Документации;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2"/>
          <w:numId w:val="7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Совершать относительно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иные действия, нарушающие российские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международные нормы законодательства.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приобретения оборудования Лицензиара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предустановленным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ПО, использование такого ПО допускается только в составе приобретенного оборудования без права установки такого ПО на иное оборудование.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7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2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5" w:name="bookmark16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Срок действия</w:t>
      </w:r>
      <w:bookmarkEnd w:id="5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ий Договор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вступает в силу с момента присоединения Лицензиатом к Соглашению и действует в течение срока действия исключительных прав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нарушения Лицензиатом условий настоящего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неспособности далее выполнять его условия, все компоненты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(включая печатные материалы, магнитные носители, файлы с информацией, архивные копии) должны быть уничтожены, а переданные права на использование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(простые (неисключительные) лицензии) - возвращены. Факт уничтожения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Лицензиат обязан подтвердить в письменном виде.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4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 дня получения письменного подтверждения об уничтожении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копии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возврата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Лицензии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настоящее Соглашение прекращает свое действие.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4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2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6" w:name="bookmark18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Ответственность</w:t>
      </w:r>
      <w:bookmarkEnd w:id="6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45" w:leader="none"/>
          <w:tab w:val="right" w:pos="459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Лицензиат приобретает права пользования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объеме, оговоренном настоящим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и несет ответственность за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использование в соответствии с рекомендациями, изложенными в эксплуатационной документации, и действующим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нарушения настоящего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Лицензиат лишается права на использование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при этом гарантийные обязательства на обслуживание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прекращаются.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Лицензиар не несет ответственность за несоответствие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ожиданиям Лицензиата и/или за его субъективную оценку, такое несоответствие ожиданиям и/ или отрицательная субъективная оценка не являются основаниями считать настоящий Договор неисполненным.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Лицензиат понимает и согласен с тем, что Лицензиар не несет ответственности и не имеет прямых или косвенных обязательств перед Лицензиатом в связи с любыми возможными или возникшими потерями или убытками, связанными с любым содержанием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айта Лицензиара,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, нарушением работоспособности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 (долгосрочной либо краткосрочной), сбоями в работе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Лицензиар не гарантирует отсутствие</w:t>
      </w:r>
      <w:r>
        <w:rPr>
          <w:rFonts w:ascii="Times New Roman" w:hAnsi="Times New Roman" w:cs="Times New Roman"/>
          <w:sz w:val="24"/>
          <w:szCs w:val="24"/>
        </w:rPr>
        <w:t xml:space="preserve"> ошибок в программном коде и/или работе ПО и не отвечает за неисправности, ошибки и сбои в работе ПО, а также за временное отсутствие у Лицензиата доступа к ПО, возникшие по причинам, не зависящим от Лицензиара или находящимся вне зоны его контроля,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они были вызваны объективными обстоятельствами, связанными с: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перебоями в электропитании;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глобальными перебоями в работе российского и международного сегментов сети Интернет;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сбоями систем маршрутизации;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неполадками линий связи;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сбоями в распределенной системе доменных имен.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Лицензиар не отвечает за убытки Лицензиата, возникшие в результате: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наличия «вирусов» и иных вредоносных программ в оборудовании и программном обеспечении, используемом Лицензиатом для доступа к Программе;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неправомерных действий третьих лиц.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случаях, причинения убытков Лицензиату по вине Лицензиара, Лицензиар несет ответственность только в пределах стоимости лицензионного вознаграждения, оплаченного Лицензиатом. Вне зависимости от </w:t>
      </w:r>
      <w:r>
        <w:rPr>
          <w:rFonts w:ascii="Times New Roman" w:hAnsi="Times New Roman" w:cs="Times New Roman"/>
          <w:sz w:val="24"/>
          <w:szCs w:val="24"/>
        </w:rPr>
        <w:t xml:space="preserve">изложенного</w:t>
      </w:r>
      <w:r>
        <w:rPr>
          <w:rFonts w:ascii="Times New Roman" w:hAnsi="Times New Roman" w:cs="Times New Roman"/>
          <w:sz w:val="24"/>
          <w:szCs w:val="24"/>
        </w:rPr>
        <w:t xml:space="preserve"> в настоящем пункте, возмещению подлежат только документально подтвержденный реальный ущерб.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Лицензиар</w:t>
      </w:r>
      <w:r>
        <w:rPr>
          <w:rFonts w:ascii="Times New Roman" w:hAnsi="Times New Roman" w:cs="Times New Roman"/>
          <w:sz w:val="24"/>
          <w:szCs w:val="24"/>
        </w:rPr>
        <w:t xml:space="preserve"> ни при </w:t>
      </w:r>
      <w:r>
        <w:rPr>
          <w:rFonts w:ascii="Times New Roman" w:hAnsi="Times New Roman" w:cs="Times New Roman"/>
          <w:sz w:val="24"/>
          <w:szCs w:val="24"/>
        </w:rPr>
        <w:t xml:space="preserve">каких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обстоятельствах не несет ответственность за нарушение Лицензиатом обязательств перед третьими лицами.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7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2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7" w:name="bookmark20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Гарантии</w:t>
      </w:r>
      <w:bookmarkEnd w:id="7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1253" w:leader="none"/>
          <w:tab w:val="left" w:pos="42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Лицензиар гарантирует работоспособность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соответствии с объявленными характеристиками в течение 12 (двенадцати) месяцев со дня получения прав, при условии ее эксплуатации на оборудовании,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соответствующем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техническим требованиям, изложенным в эксплуатационной документации и отсутствия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несанкционированного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вмешательства в работу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том числе при исключении воздействия вредоносных компьютерных программ (вирусов).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608" w:leader="none"/>
          <w:tab w:val="left" w:pos="208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выявления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течение гарантийного срока дефектов, не связанных с нарушением правил эксплуатации,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транспортировки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хранения, Лицензиат в течение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3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трех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) календарных дней с момента выявления соответствующих дефектов должен уведомить в письменной форме об этом Лицензиара (направить претензию).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6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Лицензиар обязуется с момента получения претензии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устранить дефекты своими силами и средствами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дополнительно согласованный срок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2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8" w:name="bookmark28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Форс-мажор</w:t>
      </w:r>
      <w:bookmarkEnd w:id="8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83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Стороны освобождаются от ответственности, за частичное или полное неисполнение принятых на себя обязательств, вследствие возникновения обстоятельств непреодолимой силы (форс-мажора).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83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Наступление форс-мажорных обстоятельств должно быть подтверждено документом, выданным соответствующим компетентным органом.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Под обстоятельствами непреодолимой силы понимаются обстоятельства, которые возникли после присоединения Лицензиата к настоящему Соглашению в результате непредвиденных и неотвратимых событий чрезвычайного характера, к числу которых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относятся: пожар, стихийное бедствие, война, военные действия, блокады, запрещение определенных коммерческих операций, а также акт государственного органа, в результате издания которого исполнение обязательств становится невозможным полностью или частично.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49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Стороны не освобождаются от ответственности за частичное или полное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если это неисполнение явилось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следствием односторонних актов компетентного органа государства,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не носящих общего запретительного характера в отношении определенных коммерческих операций.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50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наступлении обстоятельств непреодолимой силы,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496" w:leader="none"/>
          <w:tab w:val="left" w:pos="189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Если обстоятельства непреодолимой силы и их последствия будут продолжаться свыше 30 (тридцати) календарных дней, то каждая из Сторон имеет право отказаться от дальнейшего исполнения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предварительным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уведомлением другой Стороны в одностороннем порядке, и в этом случае ни одна из Сторон не имеет права на возмещение возможных убытков.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4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302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9" w:name="bookmark32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Разрешение споров</w:t>
      </w:r>
      <w:bookmarkEnd w:id="9"/>
      <w:r/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493" w:leader="none"/>
          <w:tab w:val="left" w:pos="32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Все споры, разногласия, требования, возникающие из настоящего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касающиеся его нарушения, прекращения, недействительности, подлежат разрешению в Арбитражном суде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обязательным соблюдением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досудебного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претензионного порядка в соответствии с действующим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493" w:leader="none"/>
          <w:tab w:val="left" w:pos="32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numPr>
          <w:ilvl w:val="0"/>
          <w:numId w:val="1"/>
        </w:numPr>
        <w:jc w:val="both"/>
        <w:keepLines/>
        <w:keepNext/>
        <w:spacing w:after="0"/>
        <w:tabs>
          <w:tab w:val="left" w:pos="463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0" w:name="bookmark34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Изменение условий </w:t>
      </w:r>
      <w:bookmarkEnd w:id="10"/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6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Внесение изменений (дополнений) в настоящ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ий Договор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том числе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приложения к нему, производится Лицензиаром в одностороннем порядке.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6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Уведомление Лицензиатов о внесении изменений (дополнений) в настоящее Соглашение осуществляется Лицензиаром путем размещения указанных изменений (дополнений) на сайте Лицензиара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88" w:leader="none"/>
          <w:tab w:val="right" w:pos="458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Все изменения (дополнения), вносимые Лицензиаром в настоящ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ий Договор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не связанные с изменением действующего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законодательства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Российской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Федерации,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вступают в силу и становятся обязательными для Лицензиатов по истечении 10 (десяти) календарных дней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даты размещения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изменений (дополнений) на сайте </w:t>
      </w:r>
      <w:hyperlink r:id="rId9" w:tooltip="http://www.quardant.ru" w:history="1">
        <w:r>
          <w:rPr>
            <w:rFonts w:ascii="Times New Roman" w:hAnsi="Times New Roman" w:cs="Times New Roman"/>
            <w:color w:val="000000"/>
            <w:sz w:val="24"/>
            <w:szCs w:val="24"/>
            <w:lang w:bidi="en-US"/>
          </w:rPr>
          <w:t xml:space="preserve">Лицензиара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1"/>
          <w:numId w:val="1"/>
        </w:numPr>
        <w:jc w:val="both"/>
        <w:spacing w:after="0" w:line="240" w:lineRule="auto"/>
        <w:tabs>
          <w:tab w:val="left" w:pos="78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Вступившие в силу изменения (дополнения) к настоящему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распространяются равно на всех Лицензиатов, присоединившихся 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том числе присоединившихся 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ранее даты вступления изменений (дополнений) в силу.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6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jc w:val="both"/>
        <w:spacing w:after="0" w:line="240" w:lineRule="auto"/>
        <w:tabs>
          <w:tab w:val="left" w:pos="13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лицензионному договору присоединения (ред. 09.04.2026)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программного обеспечения, на которое распространяется действие Лицензионного договора присоединения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78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693"/>
        <w:gridCol w:w="3969"/>
        <w:gridCol w:w="1985"/>
        <w:gridCol w:w="1807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Правообладатель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ПО/ПАК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включения в реестр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реестровой записи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Зарница. Тушение пожаров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21.04.2025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27735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Я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25269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Дорожное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28.12.2024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25879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Контроль уровня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12.21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здравоохранения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25298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Хоккей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12.18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культуры, спорта, организации досуга и развлечений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25299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Фармаколог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28.12.2024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25881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7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.Ф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орсаж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75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транспорта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04.10.2024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24256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Зарница. АПК по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28.12.2024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25882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9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Реаниматор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28.12.2024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25880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Зарница. Ударный молот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12.18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культуры, спорта, организации досуга и развлечений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25297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Зарница. Рубеж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02.12.2024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25296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12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Тренажер железнодорожного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12.12.2024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25453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13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Зарница. Симулятор 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28.12.2024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25877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14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.О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бразование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</w:t>
            </w: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20.08.2025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29331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Зарница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75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12.19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пожарной безопасности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29.08.2025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29386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16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Зарница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.Э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  <w:t xml:space="preserve">лектромонтёр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cfc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«Производственное объединение «Зарница»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75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05.01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Мультимедийное программное обеспечение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7f8fb3"/>
                <w:sz w:val="24"/>
                <w:szCs w:val="24"/>
                <w:lang w:eastAsia="ru-RU"/>
              </w:rPr>
              <w:t xml:space="preserve">12.17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Программное обеспечение для решения отраслевых задач в области образования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26.11.2025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30980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\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bullet"/>
      <w:isLgl w:val="false"/>
      <w:suff w:val="tab"/>
      <w:lvlText w:val=""/>
      <w:lvlJc w:val="left"/>
      <w:pPr/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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hint="default" w:ascii="Times New Roman" w:hAnsi="Times New Roman" w:eastAsia="Arial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9"/>
      <w:numFmt w:val="decimal"/>
      <w:isLgl w:val="false"/>
      <w:suff w:val="tab"/>
      <w:lvlText w:val="%1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8"/>
    <w:next w:val="66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8"/>
    <w:next w:val="66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8"/>
    <w:next w:val="66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8"/>
    <w:next w:val="66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8"/>
    <w:next w:val="66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8"/>
    <w:next w:val="66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8"/>
    <w:next w:val="66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8"/>
    <w:next w:val="66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8"/>
    <w:next w:val="66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8"/>
    <w:next w:val="66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9"/>
    <w:link w:val="35"/>
    <w:uiPriority w:val="10"/>
    <w:rPr>
      <w:sz w:val="48"/>
      <w:szCs w:val="48"/>
    </w:rPr>
  </w:style>
  <w:style w:type="paragraph" w:styleId="37">
    <w:name w:val="Subtitle"/>
    <w:basedOn w:val="668"/>
    <w:next w:val="66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9"/>
    <w:link w:val="37"/>
    <w:uiPriority w:val="11"/>
    <w:rPr>
      <w:sz w:val="24"/>
      <w:szCs w:val="24"/>
    </w:rPr>
  </w:style>
  <w:style w:type="paragraph" w:styleId="39">
    <w:name w:val="Quote"/>
    <w:basedOn w:val="668"/>
    <w:next w:val="66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8"/>
    <w:next w:val="66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9"/>
    <w:link w:val="680"/>
    <w:uiPriority w:val="99"/>
  </w:style>
  <w:style w:type="character" w:styleId="46">
    <w:name w:val="Footer Char"/>
    <w:basedOn w:val="669"/>
    <w:link w:val="682"/>
    <w:uiPriority w:val="99"/>
  </w:style>
  <w:style w:type="paragraph" w:styleId="47">
    <w:name w:val="Caption"/>
    <w:basedOn w:val="668"/>
    <w:next w:val="66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9"/>
    <w:uiPriority w:val="99"/>
    <w:unhideWhenUsed/>
    <w:rPr>
      <w:vertAlign w:val="superscript"/>
    </w:rPr>
  </w:style>
  <w:style w:type="paragraph" w:styleId="179">
    <w:name w:val="endnote text"/>
    <w:basedOn w:val="66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9"/>
    <w:uiPriority w:val="99"/>
    <w:semiHidden/>
    <w:unhideWhenUsed/>
    <w:rPr>
      <w:vertAlign w:val="superscript"/>
    </w:rPr>
  </w:style>
  <w:style w:type="paragraph" w:styleId="182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Основной текст_"/>
    <w:basedOn w:val="669"/>
    <w:link w:val="674"/>
    <w:rPr>
      <w:rFonts w:ascii="Arial" w:hAnsi="Arial" w:eastAsia="Arial" w:cs="Arial"/>
    </w:rPr>
  </w:style>
  <w:style w:type="character" w:styleId="673" w:customStyle="1">
    <w:name w:val="Заголовок №1_"/>
    <w:basedOn w:val="669"/>
    <w:link w:val="675"/>
    <w:rPr>
      <w:rFonts w:ascii="Arial" w:hAnsi="Arial" w:eastAsia="Arial" w:cs="Arial"/>
      <w:b/>
      <w:bCs/>
      <w:lang w:val="en-US" w:bidi="en-US"/>
    </w:rPr>
  </w:style>
  <w:style w:type="paragraph" w:styleId="674" w:customStyle="1">
    <w:name w:val="Основной текст1"/>
    <w:basedOn w:val="668"/>
    <w:link w:val="672"/>
    <w:pPr>
      <w:spacing w:after="260" w:line="252" w:lineRule="auto"/>
      <w:widowControl w:val="off"/>
    </w:pPr>
    <w:rPr>
      <w:rFonts w:ascii="Arial" w:hAnsi="Arial" w:eastAsia="Arial" w:cs="Arial"/>
    </w:rPr>
  </w:style>
  <w:style w:type="paragraph" w:styleId="675" w:customStyle="1">
    <w:name w:val="Заголовок №1"/>
    <w:basedOn w:val="668"/>
    <w:link w:val="673"/>
    <w:pPr>
      <w:spacing w:after="260" w:line="240" w:lineRule="auto"/>
      <w:widowControl w:val="off"/>
      <w:outlineLvl w:val="0"/>
    </w:pPr>
    <w:rPr>
      <w:rFonts w:ascii="Arial" w:hAnsi="Arial" w:eastAsia="Arial" w:cs="Arial"/>
      <w:b/>
      <w:bCs/>
      <w:lang w:val="en-US" w:bidi="en-US"/>
    </w:rPr>
  </w:style>
  <w:style w:type="paragraph" w:styleId="676">
    <w:name w:val="List Paragraph"/>
    <w:basedOn w:val="668"/>
    <w:uiPriority w:val="34"/>
    <w:qFormat/>
    <w:pPr>
      <w:contextualSpacing/>
      <w:ind w:left="720"/>
    </w:pPr>
  </w:style>
  <w:style w:type="paragraph" w:styleId="67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678">
    <w:name w:val="Table Grid"/>
    <w:basedOn w:val="6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9" w:customStyle="1">
    <w:name w:val="class-code"/>
    <w:basedOn w:val="669"/>
  </w:style>
  <w:style w:type="paragraph" w:styleId="680">
    <w:name w:val="Header"/>
    <w:basedOn w:val="668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69"/>
    <w:link w:val="680"/>
    <w:uiPriority w:val="99"/>
  </w:style>
  <w:style w:type="paragraph" w:styleId="682">
    <w:name w:val="Footer"/>
    <w:basedOn w:val="668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69"/>
    <w:link w:val="6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quard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Стулова</dc:creator>
  <cp:lastModifiedBy>Nikita Samsonov</cp:lastModifiedBy>
  <cp:revision>3</cp:revision>
  <dcterms:created xsi:type="dcterms:W3CDTF">2026-04-17T10:23:00Z</dcterms:created>
  <dcterms:modified xsi:type="dcterms:W3CDTF">2026-04-21T13:19:39Z</dcterms:modified>
</cp:coreProperties>
</file>